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F4F" w:rsidRPr="006A5F4F" w:rsidRDefault="006A5F4F" w:rsidP="006A5F4F">
      <w:pPr>
        <w:jc w:val="center"/>
        <w:rPr>
          <w:rFonts w:ascii="Times New Roman" w:hAnsi="Times New Roman" w:cs="Times New Roman"/>
          <w:sz w:val="28"/>
          <w:szCs w:val="28"/>
        </w:rPr>
      </w:pPr>
      <w:proofErr w:type="gramStart"/>
      <w:r w:rsidRPr="006A5F4F">
        <w:rPr>
          <w:rFonts w:ascii="Times New Roman" w:hAnsi="Times New Roman" w:cs="Times New Roman"/>
          <w:sz w:val="28"/>
          <w:szCs w:val="28"/>
        </w:rPr>
        <w:t>Новый</w:t>
      </w:r>
      <w:proofErr w:type="gramEnd"/>
      <w:r w:rsidRPr="006A5F4F">
        <w:rPr>
          <w:rFonts w:ascii="Times New Roman" w:hAnsi="Times New Roman" w:cs="Times New Roman"/>
          <w:sz w:val="28"/>
          <w:szCs w:val="28"/>
        </w:rPr>
        <w:t xml:space="preserve"> федеральный </w:t>
      </w:r>
      <w:proofErr w:type="spellStart"/>
      <w:r w:rsidRPr="006A5F4F">
        <w:rPr>
          <w:rFonts w:ascii="Times New Roman" w:hAnsi="Times New Roman" w:cs="Times New Roman"/>
          <w:sz w:val="28"/>
          <w:szCs w:val="28"/>
        </w:rPr>
        <w:t>инвествычет</w:t>
      </w:r>
      <w:proofErr w:type="spellEnd"/>
      <w:r w:rsidRPr="006A5F4F">
        <w:rPr>
          <w:rFonts w:ascii="Times New Roman" w:hAnsi="Times New Roman" w:cs="Times New Roman"/>
          <w:sz w:val="28"/>
          <w:szCs w:val="28"/>
        </w:rPr>
        <w:t xml:space="preserve"> составит всего 3% - подписано постановление правительства</w:t>
      </w:r>
    </w:p>
    <w:p w:rsidR="006A5F4F" w:rsidRPr="006A5F4F" w:rsidRDefault="006A5F4F" w:rsidP="006A5F4F">
      <w:pPr>
        <w:spacing w:after="0" w:line="240" w:lineRule="auto"/>
        <w:ind w:firstLine="709"/>
        <w:jc w:val="both"/>
        <w:rPr>
          <w:rFonts w:ascii="Times New Roman" w:hAnsi="Times New Roman" w:cs="Times New Roman"/>
          <w:sz w:val="28"/>
          <w:szCs w:val="28"/>
        </w:rPr>
      </w:pPr>
      <w:r w:rsidRPr="006A5F4F">
        <w:rPr>
          <w:rFonts w:ascii="Times New Roman" w:hAnsi="Times New Roman" w:cs="Times New Roman"/>
          <w:sz w:val="28"/>
          <w:szCs w:val="28"/>
        </w:rPr>
        <w:t>Также определены отрасли, которым вычет будет положен, и которым - нет. Его не дадут производителям продуктов питания, напитков, табачных изделий (остальные обрабатывающие производства право на вычет получают). Также вычет не положен сфере строительства, сельскому, лесному хозяйству, торговле, транспорту, финансовой сфере и другим.</w:t>
      </w:r>
    </w:p>
    <w:p w:rsidR="006A5F4F" w:rsidRPr="006A5F4F" w:rsidRDefault="006A5F4F" w:rsidP="006A5F4F">
      <w:pPr>
        <w:spacing w:after="0" w:line="240" w:lineRule="auto"/>
        <w:ind w:firstLine="709"/>
        <w:jc w:val="both"/>
        <w:rPr>
          <w:rFonts w:ascii="Times New Roman" w:hAnsi="Times New Roman" w:cs="Times New Roman"/>
          <w:sz w:val="28"/>
          <w:szCs w:val="28"/>
        </w:rPr>
      </w:pPr>
      <w:r w:rsidRPr="006A5F4F">
        <w:rPr>
          <w:rFonts w:ascii="Times New Roman" w:hAnsi="Times New Roman" w:cs="Times New Roman"/>
          <w:sz w:val="28"/>
          <w:szCs w:val="28"/>
        </w:rPr>
        <w:t>С 2025 года </w:t>
      </w:r>
      <w:hyperlink r:id="rId5" w:tooltip="Налоговый кодекс (определение, формула, пример)" w:history="1">
        <w:r w:rsidRPr="006A5F4F">
          <w:rPr>
            <w:rStyle w:val="a3"/>
            <w:rFonts w:ascii="Times New Roman" w:hAnsi="Times New Roman" w:cs="Times New Roman"/>
            <w:sz w:val="28"/>
            <w:szCs w:val="28"/>
          </w:rPr>
          <w:t>Налоговый кодекс</w:t>
        </w:r>
      </w:hyperlink>
      <w:r w:rsidRPr="006A5F4F">
        <w:rPr>
          <w:rFonts w:ascii="Times New Roman" w:hAnsi="Times New Roman" w:cs="Times New Roman"/>
          <w:sz w:val="28"/>
          <w:szCs w:val="28"/>
        </w:rPr>
        <w:t> дополняется новой статьёй 286.2 о федеральном инвестиционном налоговом вычете по налогу на прибыль. Вычет будет положен в случае вложений в амортизируемые </w:t>
      </w:r>
      <w:hyperlink r:id="rId6" w:tooltip="основные средства (определение, формула, пример)" w:history="1">
        <w:r w:rsidRPr="006A5F4F">
          <w:rPr>
            <w:rStyle w:val="a3"/>
            <w:rFonts w:ascii="Times New Roman" w:hAnsi="Times New Roman" w:cs="Times New Roman"/>
            <w:sz w:val="28"/>
            <w:szCs w:val="28"/>
          </w:rPr>
          <w:t>основные средства</w:t>
        </w:r>
      </w:hyperlink>
      <w:r w:rsidRPr="006A5F4F">
        <w:rPr>
          <w:rFonts w:ascii="Times New Roman" w:hAnsi="Times New Roman" w:cs="Times New Roman"/>
          <w:sz w:val="28"/>
          <w:szCs w:val="28"/>
        </w:rPr>
        <w:t> и </w:t>
      </w:r>
      <w:hyperlink r:id="rId7" w:tooltip="нематериальные активы (определение, формула, пример)" w:history="1">
        <w:r w:rsidRPr="006A5F4F">
          <w:rPr>
            <w:rStyle w:val="a3"/>
            <w:rFonts w:ascii="Times New Roman" w:hAnsi="Times New Roman" w:cs="Times New Roman"/>
            <w:sz w:val="28"/>
            <w:szCs w:val="28"/>
          </w:rPr>
          <w:t>нематериальные активы</w:t>
        </w:r>
      </w:hyperlink>
      <w:r w:rsidRPr="006A5F4F">
        <w:rPr>
          <w:rFonts w:ascii="Times New Roman" w:hAnsi="Times New Roman" w:cs="Times New Roman"/>
          <w:sz w:val="28"/>
          <w:szCs w:val="28"/>
        </w:rPr>
        <w:t>. Базой для вычета будет первоначальная стоимость либо сумма расходов, составляющая величину изменения первоначальной стоимости в случаях достройки, дооборудования, реконструкции и так далее. Положения о новом вычете вносятся в НК </w:t>
      </w:r>
      <w:hyperlink r:id="rId8" w:history="1">
        <w:r w:rsidRPr="006A5F4F">
          <w:rPr>
            <w:rStyle w:val="a3"/>
            <w:rFonts w:ascii="Times New Roman" w:hAnsi="Times New Roman" w:cs="Times New Roman"/>
            <w:sz w:val="28"/>
            <w:szCs w:val="28"/>
          </w:rPr>
          <w:t>законом</w:t>
        </w:r>
      </w:hyperlink>
      <w:r w:rsidRPr="006A5F4F">
        <w:rPr>
          <w:rFonts w:ascii="Times New Roman" w:hAnsi="Times New Roman" w:cs="Times New Roman"/>
          <w:sz w:val="28"/>
          <w:szCs w:val="28"/>
        </w:rPr>
        <w:t> 176-ФЗ.</w:t>
      </w:r>
    </w:p>
    <w:p w:rsidR="006A5F4F" w:rsidRDefault="006A5F4F" w:rsidP="006A5F4F">
      <w:pPr>
        <w:spacing w:after="0" w:line="240" w:lineRule="auto"/>
        <w:ind w:firstLine="709"/>
        <w:jc w:val="both"/>
        <w:rPr>
          <w:rFonts w:ascii="Times New Roman" w:hAnsi="Times New Roman" w:cs="Times New Roman"/>
          <w:sz w:val="28"/>
          <w:szCs w:val="28"/>
        </w:rPr>
      </w:pPr>
      <w:r w:rsidRPr="006A5F4F">
        <w:rPr>
          <w:rFonts w:ascii="Times New Roman" w:hAnsi="Times New Roman" w:cs="Times New Roman"/>
          <w:sz w:val="28"/>
          <w:szCs w:val="28"/>
        </w:rPr>
        <w:t xml:space="preserve">Данный вычет будет составлять всего 3% от суммы соответствующих расходов, то есть, от первоначальной стоимости или её изменения. Вычет будет уменьшать непосредственно сумму налога, подлежащего уплате. Неиспользованный остаток вычета может быть использован для уменьшения суммы налога, подлежащего зачислению в федеральный бюджет в последующих 10 налоговых периодах. </w:t>
      </w:r>
    </w:p>
    <w:p w:rsidR="006A5F4F" w:rsidRPr="006A5F4F" w:rsidRDefault="006A5F4F" w:rsidP="006A5F4F">
      <w:pPr>
        <w:spacing w:after="0" w:line="240" w:lineRule="auto"/>
        <w:ind w:firstLine="709"/>
        <w:jc w:val="both"/>
        <w:rPr>
          <w:rFonts w:ascii="Times New Roman" w:hAnsi="Times New Roman" w:cs="Times New Roman"/>
          <w:sz w:val="28"/>
          <w:szCs w:val="28"/>
        </w:rPr>
      </w:pPr>
      <w:bookmarkStart w:id="0" w:name="_GoBack"/>
      <w:bookmarkEnd w:id="0"/>
      <w:r w:rsidRPr="006A5F4F">
        <w:rPr>
          <w:rFonts w:ascii="Times New Roman" w:hAnsi="Times New Roman" w:cs="Times New Roman"/>
          <w:sz w:val="28"/>
          <w:szCs w:val="28"/>
        </w:rPr>
        <w:t>Вычет может быть применён также лицами, которые входят в одну группу с налогоплательщиком, который понёс указанные расходы. В этой связи определены также критерии лиц, входящих в одну группу, по доле прямого или косвенного участия. Таковым критерием будет доля участия не менее 50%. Это могут быть дочерние, материнские, "сестринские" и так далее организации.</w:t>
      </w:r>
    </w:p>
    <w:p w:rsidR="006A5F4F" w:rsidRPr="006A5F4F" w:rsidRDefault="006A5F4F" w:rsidP="006A5F4F">
      <w:pPr>
        <w:spacing w:after="0" w:line="240" w:lineRule="auto"/>
        <w:ind w:firstLine="709"/>
        <w:jc w:val="both"/>
        <w:rPr>
          <w:rFonts w:ascii="Times New Roman" w:hAnsi="Times New Roman" w:cs="Times New Roman"/>
          <w:sz w:val="28"/>
          <w:szCs w:val="28"/>
        </w:rPr>
      </w:pPr>
      <w:r w:rsidRPr="006A5F4F">
        <w:rPr>
          <w:rFonts w:ascii="Times New Roman" w:hAnsi="Times New Roman" w:cs="Times New Roman"/>
          <w:sz w:val="28"/>
          <w:szCs w:val="28"/>
        </w:rPr>
        <w:t xml:space="preserve">Вычет будет положен не всем – установлены виды деятельности, для которых такой вычет возможен. Вид деятельности будет определяться по основному ОКВЭД налогоплательщика. </w:t>
      </w:r>
      <w:proofErr w:type="gramStart"/>
      <w:r w:rsidRPr="006A5F4F">
        <w:rPr>
          <w:rFonts w:ascii="Times New Roman" w:hAnsi="Times New Roman" w:cs="Times New Roman"/>
          <w:sz w:val="28"/>
          <w:szCs w:val="28"/>
        </w:rPr>
        <w:t>Вычет будет предоставляться таким отраслям, как добыча полезных ископаемых, обрабатывающие производства (кроме производства пищевых продуктов, напитков, табачных изделий), обеспечение электроэнергией, газом и паром, кондиционирование воздуха, деятельность гостиниц и предприятий общественного питания, научные исследования и разработки, телекоммуникации, ИТ. Соответствующий основной ОКВЭД должен быть указан в ЕГРЮЛ по состоянию на 1 января 2024 года.</w:t>
      </w:r>
      <w:proofErr w:type="gramEnd"/>
    </w:p>
    <w:p w:rsidR="006A5F4F" w:rsidRPr="006A5F4F" w:rsidRDefault="006A5F4F" w:rsidP="006A5F4F">
      <w:pPr>
        <w:spacing w:after="0" w:line="240" w:lineRule="auto"/>
        <w:ind w:firstLine="709"/>
        <w:jc w:val="both"/>
        <w:rPr>
          <w:rFonts w:ascii="Times New Roman" w:hAnsi="Times New Roman" w:cs="Times New Roman"/>
          <w:sz w:val="28"/>
          <w:szCs w:val="28"/>
        </w:rPr>
      </w:pPr>
      <w:r w:rsidRPr="006A5F4F">
        <w:rPr>
          <w:rFonts w:ascii="Times New Roman" w:hAnsi="Times New Roman" w:cs="Times New Roman"/>
          <w:sz w:val="28"/>
          <w:szCs w:val="28"/>
        </w:rPr>
        <w:t xml:space="preserve">Также постановлением определены категории основных средств и НМА, при вложении в которые положен вычет. Это должны быть «Машины и оборудование, включая хозяйственный инвентарь и другие объекты» согласно ОКОФ, относящиеся к третьей – десятой амортизационным группам, за исключением </w:t>
      </w:r>
      <w:proofErr w:type="spellStart"/>
      <w:r w:rsidRPr="006A5F4F">
        <w:rPr>
          <w:rFonts w:ascii="Times New Roman" w:hAnsi="Times New Roman" w:cs="Times New Roman"/>
          <w:sz w:val="28"/>
          <w:szCs w:val="28"/>
        </w:rPr>
        <w:t>квардроциклов</w:t>
      </w:r>
      <w:proofErr w:type="spellEnd"/>
      <w:r w:rsidRPr="006A5F4F">
        <w:rPr>
          <w:rFonts w:ascii="Times New Roman" w:hAnsi="Times New Roman" w:cs="Times New Roman"/>
          <w:sz w:val="28"/>
          <w:szCs w:val="28"/>
        </w:rPr>
        <w:t xml:space="preserve"> и ряда </w:t>
      </w:r>
      <w:proofErr w:type="spellStart"/>
      <w:r w:rsidRPr="006A5F4F">
        <w:rPr>
          <w:rFonts w:ascii="Times New Roman" w:hAnsi="Times New Roman" w:cs="Times New Roman"/>
          <w:sz w:val="28"/>
          <w:szCs w:val="28"/>
        </w:rPr>
        <w:t>плавсредств</w:t>
      </w:r>
      <w:proofErr w:type="spellEnd"/>
      <w:r w:rsidRPr="006A5F4F">
        <w:rPr>
          <w:rFonts w:ascii="Times New Roman" w:hAnsi="Times New Roman" w:cs="Times New Roman"/>
          <w:sz w:val="28"/>
          <w:szCs w:val="28"/>
        </w:rPr>
        <w:t xml:space="preserve"> для развлечений (судов круизных, судов экскурсионных и так далее). Причем, для гостиниц и </w:t>
      </w:r>
      <w:r w:rsidRPr="006A5F4F">
        <w:rPr>
          <w:rFonts w:ascii="Times New Roman" w:hAnsi="Times New Roman" w:cs="Times New Roman"/>
          <w:sz w:val="28"/>
          <w:szCs w:val="28"/>
        </w:rPr>
        <w:lastRenderedPageBreak/>
        <w:t xml:space="preserve">общепита такое исключение действовать не будет, то есть, эти сферы смогут применить </w:t>
      </w:r>
      <w:proofErr w:type="gramStart"/>
      <w:r w:rsidRPr="006A5F4F">
        <w:rPr>
          <w:rFonts w:ascii="Times New Roman" w:hAnsi="Times New Roman" w:cs="Times New Roman"/>
          <w:sz w:val="28"/>
          <w:szCs w:val="28"/>
        </w:rPr>
        <w:t>вычет</w:t>
      </w:r>
      <w:proofErr w:type="gramEnd"/>
      <w:r w:rsidRPr="006A5F4F">
        <w:rPr>
          <w:rFonts w:ascii="Times New Roman" w:hAnsi="Times New Roman" w:cs="Times New Roman"/>
          <w:sz w:val="28"/>
          <w:szCs w:val="28"/>
        </w:rPr>
        <w:t xml:space="preserve"> в том числе и по таким судам, и по </w:t>
      </w:r>
      <w:proofErr w:type="spellStart"/>
      <w:r w:rsidRPr="006A5F4F">
        <w:rPr>
          <w:rFonts w:ascii="Times New Roman" w:hAnsi="Times New Roman" w:cs="Times New Roman"/>
          <w:sz w:val="28"/>
          <w:szCs w:val="28"/>
        </w:rPr>
        <w:t>квадроциклам</w:t>
      </w:r>
      <w:proofErr w:type="spellEnd"/>
      <w:r w:rsidRPr="006A5F4F">
        <w:rPr>
          <w:rFonts w:ascii="Times New Roman" w:hAnsi="Times New Roman" w:cs="Times New Roman"/>
          <w:sz w:val="28"/>
          <w:szCs w:val="28"/>
        </w:rPr>
        <w:t>.</w:t>
      </w:r>
    </w:p>
    <w:p w:rsidR="006A5F4F" w:rsidRPr="006A5F4F" w:rsidRDefault="006A5F4F" w:rsidP="006A5F4F">
      <w:pPr>
        <w:spacing w:after="0" w:line="240" w:lineRule="auto"/>
        <w:ind w:firstLine="709"/>
        <w:jc w:val="both"/>
        <w:rPr>
          <w:rFonts w:ascii="Times New Roman" w:hAnsi="Times New Roman" w:cs="Times New Roman"/>
          <w:sz w:val="28"/>
          <w:szCs w:val="28"/>
        </w:rPr>
      </w:pPr>
      <w:r w:rsidRPr="006A5F4F">
        <w:rPr>
          <w:rFonts w:ascii="Times New Roman" w:hAnsi="Times New Roman" w:cs="Times New Roman"/>
          <w:sz w:val="28"/>
          <w:szCs w:val="28"/>
        </w:rPr>
        <w:t>Право на вычет будет также иметься в отношении изобретений, по которым получен патент, а чести расходов, составляющих первоначальную стоимость амортизируемую НМА. Устанавливаются и некоторые другие нюансы (постановление от 28 ноября 2024 года № </w:t>
      </w:r>
      <w:hyperlink r:id="rId9" w:tgtFrame="_blank" w:history="1">
        <w:r w:rsidRPr="006A5F4F">
          <w:rPr>
            <w:rStyle w:val="a3"/>
            <w:rFonts w:ascii="Times New Roman" w:hAnsi="Times New Roman" w:cs="Times New Roman"/>
            <w:sz w:val="28"/>
            <w:szCs w:val="28"/>
          </w:rPr>
          <w:t>1638</w:t>
        </w:r>
      </w:hyperlink>
      <w:r w:rsidRPr="006A5F4F">
        <w:rPr>
          <w:rFonts w:ascii="Times New Roman" w:hAnsi="Times New Roman" w:cs="Times New Roman"/>
          <w:sz w:val="28"/>
          <w:szCs w:val="28"/>
        </w:rPr>
        <w:t>).</w:t>
      </w:r>
    </w:p>
    <w:p w:rsidR="006A5F4F" w:rsidRPr="006A5F4F" w:rsidRDefault="006A5F4F" w:rsidP="006A5F4F">
      <w:pPr>
        <w:spacing w:after="0" w:line="240" w:lineRule="auto"/>
        <w:ind w:firstLine="709"/>
        <w:jc w:val="both"/>
        <w:rPr>
          <w:rFonts w:ascii="Times New Roman" w:hAnsi="Times New Roman" w:cs="Times New Roman"/>
          <w:sz w:val="28"/>
          <w:szCs w:val="28"/>
        </w:rPr>
      </w:pPr>
      <w:r w:rsidRPr="006A5F4F">
        <w:rPr>
          <w:rFonts w:ascii="Times New Roman" w:hAnsi="Times New Roman" w:cs="Times New Roman"/>
          <w:sz w:val="28"/>
          <w:szCs w:val="28"/>
        </w:rPr>
        <w:t>Напомним также, что недавним </w:t>
      </w:r>
      <w:hyperlink r:id="rId10" w:history="1">
        <w:r w:rsidRPr="006A5F4F">
          <w:rPr>
            <w:rStyle w:val="a3"/>
            <w:rFonts w:ascii="Times New Roman" w:hAnsi="Times New Roman" w:cs="Times New Roman"/>
            <w:sz w:val="28"/>
            <w:szCs w:val="28"/>
          </w:rPr>
          <w:t>законом</w:t>
        </w:r>
      </w:hyperlink>
      <w:r w:rsidRPr="006A5F4F">
        <w:rPr>
          <w:rFonts w:ascii="Times New Roman" w:hAnsi="Times New Roman" w:cs="Times New Roman"/>
          <w:sz w:val="28"/>
          <w:szCs w:val="28"/>
        </w:rPr>
        <w:t xml:space="preserve"> 362-ФЗ разрешено амортизировать ОС и НМА, по которым </w:t>
      </w:r>
      <w:proofErr w:type="gramStart"/>
      <w:r w:rsidRPr="006A5F4F">
        <w:rPr>
          <w:rFonts w:ascii="Times New Roman" w:hAnsi="Times New Roman" w:cs="Times New Roman"/>
          <w:sz w:val="28"/>
          <w:szCs w:val="28"/>
        </w:rPr>
        <w:t>применен</w:t>
      </w:r>
      <w:proofErr w:type="gramEnd"/>
      <w:r w:rsidRPr="006A5F4F">
        <w:rPr>
          <w:rFonts w:ascii="Times New Roman" w:hAnsi="Times New Roman" w:cs="Times New Roman"/>
          <w:sz w:val="28"/>
          <w:szCs w:val="28"/>
        </w:rPr>
        <w:t xml:space="preserve"> новый федеральный </w:t>
      </w:r>
      <w:proofErr w:type="spellStart"/>
      <w:r w:rsidRPr="006A5F4F">
        <w:rPr>
          <w:rFonts w:ascii="Times New Roman" w:hAnsi="Times New Roman" w:cs="Times New Roman"/>
          <w:sz w:val="28"/>
          <w:szCs w:val="28"/>
        </w:rPr>
        <w:t>инвествычет</w:t>
      </w:r>
      <w:proofErr w:type="spellEnd"/>
      <w:r w:rsidRPr="006A5F4F">
        <w:rPr>
          <w:rFonts w:ascii="Times New Roman" w:hAnsi="Times New Roman" w:cs="Times New Roman"/>
          <w:sz w:val="28"/>
          <w:szCs w:val="28"/>
        </w:rPr>
        <w:t xml:space="preserve"> (</w:t>
      </w:r>
      <w:hyperlink r:id="rId11" w:history="1">
        <w:r w:rsidRPr="006A5F4F">
          <w:rPr>
            <w:rStyle w:val="a3"/>
            <w:rFonts w:ascii="Times New Roman" w:hAnsi="Times New Roman" w:cs="Times New Roman"/>
            <w:sz w:val="28"/>
            <w:szCs w:val="28"/>
          </w:rPr>
          <w:t>подробнее</w:t>
        </w:r>
      </w:hyperlink>
      <w:r w:rsidRPr="006A5F4F">
        <w:rPr>
          <w:rFonts w:ascii="Times New Roman" w:hAnsi="Times New Roman" w:cs="Times New Roman"/>
          <w:sz w:val="28"/>
          <w:szCs w:val="28"/>
        </w:rPr>
        <w:t> об этом аспекте).</w:t>
      </w:r>
    </w:p>
    <w:p w:rsidR="00540D69" w:rsidRPr="006A5F4F" w:rsidRDefault="00540D69" w:rsidP="006A5F4F">
      <w:pPr>
        <w:spacing w:after="0" w:line="240" w:lineRule="auto"/>
        <w:ind w:firstLine="709"/>
        <w:jc w:val="both"/>
        <w:rPr>
          <w:rFonts w:ascii="Times New Roman" w:hAnsi="Times New Roman" w:cs="Times New Roman"/>
          <w:sz w:val="28"/>
          <w:szCs w:val="28"/>
        </w:rPr>
      </w:pPr>
    </w:p>
    <w:sectPr w:rsidR="00540D69" w:rsidRPr="006A5F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F4F"/>
    <w:rsid w:val="00540D69"/>
    <w:rsid w:val="006A5F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A5F4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A5F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812234">
      <w:bodyDiv w:val="1"/>
      <w:marLeft w:val="0"/>
      <w:marRight w:val="0"/>
      <w:marTop w:val="0"/>
      <w:marBottom w:val="0"/>
      <w:divBdr>
        <w:top w:val="none" w:sz="0" w:space="0" w:color="auto"/>
        <w:left w:val="none" w:sz="0" w:space="0" w:color="auto"/>
        <w:bottom w:val="none" w:sz="0" w:space="0" w:color="auto"/>
        <w:right w:val="none" w:sz="0" w:space="0" w:color="auto"/>
      </w:divBdr>
    </w:div>
    <w:div w:id="160244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udit-it.ru/news/finance/1105790.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udit-it.ru/terms/accounting/nematerialnye_aktivy.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audit-it.ru/terms/accounting/ppe.html" TargetMode="External"/><Relationship Id="rId11" Type="http://schemas.openxmlformats.org/officeDocument/2006/relationships/hyperlink" Target="http://www.audit-it.ru/news/account/1108704.html" TargetMode="External"/><Relationship Id="rId5" Type="http://schemas.openxmlformats.org/officeDocument/2006/relationships/hyperlink" Target="https://www.audit-it.ru/terms/taxation/nalogovyy_kodeks_nk_rf.html" TargetMode="External"/><Relationship Id="rId10" Type="http://schemas.openxmlformats.org/officeDocument/2006/relationships/hyperlink" Target="https://www.audit-it.ru/news/account/1109936.html" TargetMode="External"/><Relationship Id="rId4" Type="http://schemas.openxmlformats.org/officeDocument/2006/relationships/webSettings" Target="webSettings.xml"/><Relationship Id="rId9" Type="http://schemas.openxmlformats.org/officeDocument/2006/relationships/hyperlink" Target="http://static.government.ru/media/files/psvDYPLzsxQl315G2NACjh6jHgAErmIJ.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581</Words>
  <Characters>3315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2025-01-15T05:56:00Z</dcterms:created>
  <dcterms:modified xsi:type="dcterms:W3CDTF">2025-01-15T06:03:00Z</dcterms:modified>
</cp:coreProperties>
</file>